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/>
      </w:pPr>
    </w:p>
    <w:p>
      <w:pPr>
        <w:spacing w:after="0"/>
      </w:pPr>
    </w:p>
    <w:p>
      <w:pPr>
        <w:spacing w:after="0"/>
      </w:pPr>
    </w:p>
    <w:tbl>
      <w:tblPr>
        <w:tblW w:type="dxa" w:w="4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</w:tblGrid>
      <w:tr>
        <w:trPr>
          <w:trHeight w:val="2000" w:hRule="exact"/>
        </w:trPr>
        <w:tc>
          <w:tcPr>
            <w:tcW w:type="dxa" w:w="4000"/>
            <w:tcBorders>
              <w:top w:val="single" w:color="BBBBBB" w:sz="1"/>
              <w:left w:val="single" w:color="BBBBBB" w:sz="1"/>
              <w:bottom w:val="single" w:color="BBBBBB" w:sz="1"/>
              <w:right w:val="single" w:color="BBBBBB" w:sz="1"/>
            </w:tcBorders>
            <w:shd w:fill="DDDDDD" w:color="auto" w:val="clear"/>
            <w:vAlign w:val="center"/>
          </w:tcPr>
          <w:p>
            <w:pPr>
              <w:jc w:val="center"/>
            </w:pPr>
            <w:r>
              <w:rPr>
                <w:rFonts w:ascii="Calibri" w:cs="Calibri" w:eastAsia="Calibri" w:hAnsi="Calibri"/>
                <w:i/>
                <w:iCs/>
                <w:color w:val="888888"/>
                <w:sz w:val="20"/>
                <w:szCs w:val="20"/>
              </w:rPr>
              <w:t xml:space="preserve">Voeg hier uw organisatielogo in</w:t>
            </w:r>
          </w:p>
        </w:tc>
      </w:tr>
    </w:tbl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120"/>
      </w:pPr>
      <w:r>
        <w:rPr>
          <w:rFonts w:ascii="Calibri" w:cs="Calibri" w:eastAsia="Calibri" w:hAnsi="Calibri"/>
          <w:b/>
          <w:bCs/>
          <w:color w:val="333333"/>
          <w:sz w:val="56"/>
          <w:szCs w:val="56"/>
        </w:rPr>
        <w:t xml:space="preserve">Strategisch Vastgoedplan</w:t>
      </w:r>
    </w:p>
    <w:p>
      <w:pPr>
        <w:spacing w:after="120"/>
      </w:pPr>
      <w:r>
        <w:rPr>
          <w:rFonts w:ascii="Calibri" w:cs="Calibri" w:eastAsia="Calibri" w:hAnsi="Calibri"/>
          <w:color w:val="333333"/>
          <w:sz w:val="36"/>
          <w:szCs w:val="36"/>
        </w:rPr>
        <w:t xml:space="preserve">[Naam organisatie]</w:t>
      </w:r>
    </w:p>
    <w:p>
      <w:pPr>
        <w:spacing w:after="120"/>
      </w:pPr>
      <w:r>
        <w:rPr>
          <w:rFonts w:ascii="Calibri" w:cs="Calibri" w:eastAsia="Calibri" w:hAnsi="Calibri"/>
          <w:color w:val="888888"/>
          <w:sz w:val="28"/>
          <w:szCs w:val="28"/>
        </w:rPr>
        <w:t xml:space="preserve">[Startjaar] — [Eindjaar]</w:t>
      </w: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spacing w:after="0"/>
      </w:pPr>
      <w:r>
        <w:rPr>
          <w:rFonts w:ascii="Calibri" w:cs="Calibri" w:eastAsia="Calibri" w:hAnsi="Calibri"/>
          <w:color w:val="888888"/>
          <w:sz w:val="22"/>
          <w:szCs w:val="22"/>
        </w:rPr>
        <w:t xml:space="preserve">Versie [x.x] | [Datum]</w:t>
      </w:r>
    </w:p>
    <w:p>
      <w:pPr>
        <w:sectPr>
          <w:pgSz w:w="11906" w:h="16838" w:orient="portrait"/>
          <w:pgMar w:top="1440" w:right="1440" w:bottom="1440" w:left="1440" w:header="708" w:footer="708" w:gutter="0"/>
          <w:pgNumType/>
          <w:titlePg/>
          <w:docGrid w:linePitch="360"/>
        </w:sectPr>
      </w:pP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Personaliseer dit document</w:t>
      </w:r>
    </w:p>
    <w:p>
      <w:pPr>
        <w:spacing w:after="0"/>
      </w:pPr>
    </w:p>
    <w:p>
      <w:pPr>
        <w:spacing w:after="120"/>
      </w:pPr>
      <w:r>
        <w:rPr>
          <w:rFonts w:ascii="Calibri" w:cs="Calibri" w:eastAsia="Calibri" w:hAnsi="Calibri"/>
          <w:color w:val="444444"/>
          <w:sz w:val="22"/>
          <w:szCs w:val="22"/>
        </w:rPr>
        <w:t xml:space="preserve">Volg onderstaande stappen om dit SVP-sjabloon te personaliseren voor uw organisatie:</w:t>
      </w:r>
    </w:p>
    <w:p>
      <w:pPr>
        <w:spacing w:after="0"/>
      </w:pPr>
    </w:p>
    <w:p>
      <w:pPr>
        <w:spacing w:after="160"/>
      </w:pPr>
      <w:r>
        <w:rPr>
          <w:rFonts w:ascii="Calibri" w:cs="Calibri" w:eastAsia="Calibri" w:hAnsi="Calibri"/>
          <w:b/>
          <w:bCs/>
          <w:color w:val="444444"/>
          <w:sz w:val="22"/>
          <w:szCs w:val="22"/>
        </w:rPr>
        <w:t xml:space="preserve">Stap 1: </w:t>
      </w:r>
      <w:r>
        <w:rPr>
          <w:rFonts w:ascii="Calibri" w:cs="Calibri" w:eastAsia="Calibri" w:hAnsi="Calibri"/>
          <w:color w:val="444444"/>
          <w:sz w:val="22"/>
          <w:szCs w:val="22"/>
        </w:rPr>
        <w:t xml:space="preserve">Vervang het logo op het voorblad door uw eigen organisatielogo</w:t>
      </w:r>
    </w:p>
    <w:p>
      <w:pPr>
        <w:spacing w:after="160"/>
      </w:pPr>
      <w:r>
        <w:rPr>
          <w:rFonts w:ascii="Calibri" w:cs="Calibri" w:eastAsia="Calibri" w:hAnsi="Calibri"/>
          <w:b/>
          <w:bCs/>
          <w:color w:val="444444"/>
          <w:sz w:val="22"/>
          <w:szCs w:val="22"/>
        </w:rPr>
        <w:t xml:space="preserve">Stap 2: </w:t>
      </w:r>
      <w:r>
        <w:rPr>
          <w:rFonts w:ascii="Calibri" w:cs="Calibri" w:eastAsia="Calibri" w:hAnsi="Calibri"/>
          <w:color w:val="444444"/>
          <w:sz w:val="22"/>
          <w:szCs w:val="22"/>
        </w:rPr>
        <w:t xml:space="preserve">Gebruik Zoeken &amp; Vervangen (Ctrl+H) om [Naam organisatie] te vervangen door uw organisatienaam</w:t>
      </w:r>
    </w:p>
    <w:p>
      <w:pPr>
        <w:spacing w:after="160"/>
      </w:pPr>
      <w:r>
        <w:rPr>
          <w:rFonts w:ascii="Calibri" w:cs="Calibri" w:eastAsia="Calibri" w:hAnsi="Calibri"/>
          <w:b/>
          <w:bCs/>
          <w:color w:val="444444"/>
          <w:sz w:val="22"/>
          <w:szCs w:val="22"/>
        </w:rPr>
        <w:t xml:space="preserve">Stap 3: </w:t>
      </w:r>
      <w:r>
        <w:rPr>
          <w:rFonts w:ascii="Calibri" w:cs="Calibri" w:eastAsia="Calibri" w:hAnsi="Calibri"/>
          <w:color w:val="444444"/>
          <w:sz w:val="22"/>
          <w:szCs w:val="22"/>
        </w:rPr>
        <w:t xml:space="preserve">Pas eventueel de kleuren van de koppen aan naar uw huisstijl</w:t>
      </w:r>
    </w:p>
    <w:p>
      <w:pPr>
        <w:spacing w:after="0"/>
      </w:pPr>
    </w:p>
    <w:p>
      <w:pPr>
        <w:shd w:fill="FFF8E1" w:color="auto" w:val="clear"/>
        <w:spacing w:after="160"/>
      </w:pPr>
      <w:r>
        <w:rPr>
          <w:rFonts w:ascii="Calibri" w:cs="Calibri" w:eastAsia="Calibri" w:hAnsi="Calibri"/>
          <w:b/>
          <w:bCs/>
          <w:color w:val="444444"/>
          <w:sz w:val="22"/>
          <w:szCs w:val="22"/>
        </w:rPr>
        <w:t xml:space="preserve">Tip: </w:t>
      </w:r>
      <w:r>
        <w:rPr>
          <w:rFonts w:ascii="Calibri" w:cs="Calibri" w:eastAsia="Calibri" w:hAnsi="Calibri"/>
          <w:color w:val="444444"/>
          <w:sz w:val="22"/>
          <w:szCs w:val="22"/>
        </w:rPr>
        <w:t xml:space="preserve">Vul eerst het SVP Data Workbook (Excel) in — de output-tabellen kunt u kopiëren naar de betreffende hoofdstukken</w:t>
      </w:r>
    </w:p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Inhoudsopgave</w:t>
      </w:r>
    </w:p>
    <w:sdt>
      <w:sdtPr>
        <w:alias w:val="Inhoudsopgave"/>
      </w:sdtPr>
      <w:sdtContent>
        <w:p>
          <w:r>
            <w:fldChar w:fldCharType="begin" w:dirty="true"/>
            <w:instrText xml:space="preserve">TOC \h \o "1-3"</w:instrText>
            <w:fldChar w:fldCharType="separate"/>
          </w:r>
        </w:p>
        <w:p>
          <w:r>
            <w:fldChar w:fldCharType="end"/>
          </w:r>
        </w:p>
      </w:sdtContent>
    </w:sdt>
    <w:p>
      <w:pPr>
        <w:spacing w:after="0"/>
      </w:pP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Klik met de rechtermuisknop op de inhoudsopgave en kies 'Veld bijwerken' om de paginanummers bij te werken.</w:t>
      </w:r>
    </w:p>
    <w:p>
      <w:r>
        <w:br w:type="page"/>
      </w:r>
    </w:p>
    <w:p>
      <w:pPr>
        <w:pStyle w:val="Heading1"/>
        <w:spacing w:after="200" w:before="360"/>
      </w:pPr>
      <w:r>
        <w:rPr>
          <w:rFonts w:ascii="Calibri" w:cs="Calibri" w:eastAsia="Calibri" w:hAnsi="Calibri"/>
          <w:b/>
          <w:bCs/>
          <w:color w:val="333333"/>
          <w:sz w:val="32"/>
          <w:szCs w:val="32"/>
        </w:rPr>
        <w:t xml:space="preserve">Deel I — Context &amp; Kaders</w:t>
      </w:r>
    </w:p>
    <w:p>
      <w:pPr>
        <w:spacing w:after="0"/>
      </w:pP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1. Organisatieprofiel &amp; Zorgvisie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2 (Markt &amp; Omgeving) | Instrument: Organisatie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uw organisatie, missie, visie en zorgprofiel. Gebruik de gegevens uit de SVP Quick-scan als startpunt.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</w:tblGrid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2F2F2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333333"/>
                <w:sz w:val="20"/>
                <w:szCs w:val="20"/>
              </w:rPr>
              <w:t xml:space="preserve">Naam</w:t>
            </w:r>
          </w:p>
        </w:tc>
        <w:tc>
          <w:tcPr>
            <w:tcW w:type="dxa" w:w="6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[Naam organisatie]</w:t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2F2F2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333333"/>
                <w:sz w:val="20"/>
                <w:szCs w:val="20"/>
              </w:rPr>
              <w:t xml:space="preserve">Type zorgorganisatie</w:t>
            </w:r>
          </w:p>
        </w:tc>
        <w:tc>
          <w:tcPr>
            <w:tcW w:type="dxa" w:w="6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2F2F2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333333"/>
                <w:sz w:val="20"/>
                <w:szCs w:val="20"/>
              </w:rPr>
              <w:t xml:space="preserve">Omvang (fte)</w:t>
            </w:r>
          </w:p>
        </w:tc>
        <w:tc>
          <w:tcPr>
            <w:tcW w:type="dxa" w:w="6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2F2F2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333333"/>
                <w:sz w:val="20"/>
                <w:szCs w:val="20"/>
              </w:rPr>
              <w:t xml:space="preserve">Werkgebied/regio</w:t>
            </w:r>
          </w:p>
        </w:tc>
        <w:tc>
          <w:tcPr>
            <w:tcW w:type="dxa" w:w="6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2F2F2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333333"/>
                <w:sz w:val="20"/>
                <w:szCs w:val="20"/>
              </w:rPr>
              <w:t xml:space="preserve">Jaaromzet</w:t>
            </w:r>
          </w:p>
        </w:tc>
        <w:tc>
          <w:tcPr>
            <w:tcW w:type="dxa" w:w="6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2F2F2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333333"/>
                <w:sz w:val="20"/>
                <w:szCs w:val="20"/>
              </w:rPr>
              <w:t xml:space="preserve">Sector</w:t>
            </w:r>
          </w:p>
        </w:tc>
        <w:tc>
          <w:tcPr>
            <w:tcW w:type="dxa" w:w="6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3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2F2F2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333333"/>
                <w:sz w:val="20"/>
                <w:szCs w:val="20"/>
              </w:rPr>
              <w:t xml:space="preserve">Eigendomsverhouding</w:t>
            </w:r>
          </w:p>
        </w:tc>
        <w:tc>
          <w:tcPr>
            <w:tcW w:type="dxa" w:w="6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1.1 Missie en visie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missie en visie van uw organisatie. Wat is de bestaansreden en waar wilt u naartoe?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1.2 Zorgvisie en vastgoedconsequenties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hoe uw zorgvisie zich vertaalt naar vastgoedconsequenties. Denk aan: scheiden wonen/zorg, kleinschaligheid, technologie, duurzaamheid.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1.3 Organisatiestructuur vastgoedsturing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hoe vastgoedsturing is georganiseerd. Wie is verantwoordelijk? Hoe ziet het RACI-model eruit voor vastgoedbeslissingen?</w:t>
      </w:r>
    </w:p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2. Wet- en regelgeving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6 (Beleidskaders) | Instrument: Risico &amp; Compliance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het juridische kader waarbinnen uw vastgoedbeleid opereert.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2.1 WfZ-kader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relevante voorwaarden en toetsingscriteria van het Waarborgfonds voor de Zorgsector (WfZ) voor uw organisatie.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2.2 NHC-systematiek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hoe de Normatieve Huisvestingscomponent (NHC) van toepassing is op uw vastgoedfinanciering en welke consequenties dit heeft.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2.3 Wet langdurige zorg (Wlz)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relevante bepalingen uit de Wlz die van invloed zijn op uw vastgoedstrategie, zoals productieafspraken en bekostigingssystematiek.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2.4 Overige relevante regelgeving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overige regelgeving die relevant is, zoals bouwbesluit, BENG-eisen, brandveiligheidseisen, Arbowetgeving en DigiMV.</w:t>
      </w:r>
    </w:p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3. Stakeholderanalyse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2 (Markt &amp; Omgeving) | Instrument: Organisatie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Identificeer de belangrijkste stakeholders en hun belangen bij uw vastgoedstrategie.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Stakeholder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Belang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Invloed (H/M/L)</w:t>
            </w:r>
          </w:p>
        </w:tc>
        <w:tc>
          <w:tcPr>
            <w:tcW w:type="dxa" w:w="2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Verwachting</w:t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Communicatiestrategie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4. Doelgroepprofielen &amp; Zorgvraag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2 (Markt &amp; Omgeving) | Instrument: BI &amp; Data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Vertaal de zorgvraag van uw doelgroepen naar ruimtebehoefte. Gebruik het SVP Data Workbook tab 'Doelgroepen &amp; Zorgvraag'.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Doelgroep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Huidige capaciteit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Verwachte ontwikkeling</w:t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Benodigde capaciteit (5 jr)</w:t>
            </w:r>
          </w:p>
        </w:tc>
        <w:tc>
          <w:tcPr>
            <w:tcW w:type="dxa" w:w="180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Ruimtebehoefte (m²)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5. Markt- &amp; Omgevingsanalyse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2 (Markt &amp; Omgeving) | Instrument: BI &amp; Data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Analyseer de externe factoren die van invloed zijn op uw vastgoedstrategie.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5.1 Zorgmarkt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ontwikkelingen in de zorgmarkt die relevant zijn voor uw vastgoedstrategie. Denk aan: zorgvraagontwikkeling, extramuralisering, arbeidsmarkt.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5.2 Vastgoedmarkt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relevante ontwikkelingen op de vastgoedmarkt in uw werkgebied. Denk aan: bouwkosten, beschikbaarheid, grondposities.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5.3 Concurrentie &amp; samenwerking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concurrentiepositie en samenwerkingsverbanden met andere zorgaanbieders, woningcorporaties en gemeenten.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5.4 Technologische ontwikkelingen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technologische ontwikkelingen die invloed hebben op uw vastgoedstrategie. Denk aan: domotica, e-health, gebouwbeheersystemen.</w:t>
      </w:r>
    </w:p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6. Demografische Analyse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2 (Markt &amp; Omgeving) | Instrument: BI &amp; Data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Onderbouw de toekomstige zorgvraag met demografische gegevens uit uw werkgebied.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Indicator</w:t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Huidig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Prognose 5 jr</w:t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Prognose 10 jr</w:t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Bron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Bevolkingsomvang</w:t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% 65+</w:t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% 80+</w:t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Vergrijzingsgraad</w:t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Zorggebruik (Wlz)</w:t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r>
        <w:br w:type="page"/>
      </w:r>
    </w:p>
    <w:p>
      <w:pPr>
        <w:pStyle w:val="Heading1"/>
        <w:spacing w:after="200" w:before="360"/>
      </w:pPr>
      <w:r>
        <w:rPr>
          <w:rFonts w:ascii="Calibri" w:cs="Calibri" w:eastAsia="Calibri" w:hAnsi="Calibri"/>
          <w:b/>
          <w:bCs/>
          <w:color w:val="333333"/>
          <w:sz w:val="32"/>
          <w:szCs w:val="32"/>
        </w:rPr>
        <w:t xml:space="preserve">Deel II — Portefeuille-analyse</w:t>
      </w:r>
    </w:p>
    <w:p>
      <w:pPr>
        <w:spacing w:after="0"/>
      </w:pP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7. Huidige Portefeuille (IST)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1 (SVP), 9 (Onderhoud) | Instrument: BI &amp; Data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Geef een compleet overzicht van uw huidige vastgoedportefeuille. Kopieer de tabel uit het SVP Data Workbook tab 'Portefeuille-overzicht'.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Nr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Object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Type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Bouwjaar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m² BVO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Functie</w:t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Eigendom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Status</w:t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1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2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3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4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5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6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7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8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9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10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7.1 Samenvatting portefeuille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Vat de portefeuille samen: totaal aantal objecten, totaal m² BVO, verdeling eigendom/huur, verdeling per type, gemiddeld bouwjaar.</w:t>
      </w:r>
    </w:p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8. Conditiemeting &amp; Staat van Onderhoud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9 (Onderhoud) | Instrument: BI &amp; Data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Kopieer de tabel uit het SVP Data Workbook tab 'Conditie-analyse'.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Object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NEN 2767 score</w:t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Oordeel</w:t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Energielabel huidig</w:t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Energielabel doel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8.1 Urgentielijst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Maak een lijst van objecten met een NEN 2767 score ≥ 4. Deze objecten vereisen op korte termijn aandacht. Beschrijf per object de noodzakelijke maatregelen.</w:t>
      </w:r>
    </w:p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9. Functionele Beoordeling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3 (Functioneel Programma) | Instrument: Evalueren &amp; Leren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Kopieer de tabel uit het SVP Data Workbook tab 'Functionele toets'.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Object</w:t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Geschiktheid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Flexibiliteit</w:t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Toegankelijkheid</w:t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Brandveiligheid</w:t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Totaal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10. Financiële Analyse Portefeuille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4 (Financiële kaders), 5 (Investeringsbeleid) | Instrument: BI &amp; Data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Kopieer de tabel uit het SVP Data Workbook tab 'Financieel overzicht'.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Object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Boekwaarde</w:t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WOZ-waarde</w:t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NHC-norm</w:t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Exploitatiekosten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7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10.1 Financiële kengetallen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belangrijkste financiële kengetallen: solvabiliteit, DSCR, loan-to-value, resultaat per locatie, onderhoudskostenratio. Vergelijk met WfZ-normen.</w:t>
      </w:r>
    </w:p>
    <w:p>
      <w:r>
        <w:br w:type="page"/>
      </w:r>
    </w:p>
    <w:p>
      <w:pPr>
        <w:pStyle w:val="Heading1"/>
        <w:spacing w:after="200" w:before="360"/>
      </w:pPr>
      <w:r>
        <w:rPr>
          <w:rFonts w:ascii="Calibri" w:cs="Calibri" w:eastAsia="Calibri" w:hAnsi="Calibri"/>
          <w:b/>
          <w:bCs/>
          <w:color w:val="333333"/>
          <w:sz w:val="32"/>
          <w:szCs w:val="32"/>
        </w:rPr>
        <w:t xml:space="preserve">Deel III — Strategie &amp; Keuzes</w:t>
      </w:r>
    </w:p>
    <w:p>
      <w:pPr>
        <w:spacing w:after="0"/>
      </w:pP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11. Streefportefeuille (SOLL)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1 (SVP), 3 (Functioneel Programma) | Instrument: Risico &amp; Compliance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gewenste toekomstige portefeuille. Kopieer de tabel uit het SVP Data Workbook tab 'Strategietabel'.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Object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Huidige functie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Strategiekeuze</w:t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Toelichting</w:t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Planning</w:t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11.1 Strategische uitgangspunten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strategische uitgangspunten die ten grondslag liggen aan de streefportefeuille. Denk aan: concentratie/spreiding, eigendom/huur, nieuwbouw/renovatie, duurzaamheidsambities.</w:t>
      </w:r>
    </w:p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12. Gap-analyse (IST vs SOLL)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1 (SVP), 3 (Functioneel Programma) | Instrument: BI &amp; Data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Kopieer de tabel uit het SVP Data Workbook tab 'Gap-analyse'.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Object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Huidige situatie (IST)</w:t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Gewenste situatie (SOLL)</w:t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Gap</w:t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Benodigde actie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8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13. Scenario-ontwikkeling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5 (Investeringsbeleid), 8 (Projectbeheersing) | Instrument: Risico &amp; Compliance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Werk minimaal 2 scenario’s uit. Kopieer de vergelijking uit het SVP Data Workbook tab 'Scenario-vergelijking'.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Aspect</w:t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Scenario A</w:t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Scenario B</w:t>
            </w:r>
          </w:p>
        </w:tc>
        <w:tc>
          <w:tcPr>
            <w:tcW w:type="dxa" w:w="227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Scenario C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Naam scenario</w:t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Investeringsvolume</w:t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Timing</w:t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Scope</w:t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Risicoprofiel</w:t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Financiële impact</w:t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5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7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13.1 Voorkeursscenario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Onderbouw de keuze voor het voorkeursscenario. Beschrijf de afwegingen op het gebied van risico, rendement, haalbaarheid en aansluiting bij de zorgvisie.</w:t>
      </w:r>
    </w:p>
    <w:p>
      <w:r>
        <w:br w:type="page"/>
      </w:r>
    </w:p>
    <w:p>
      <w:pPr>
        <w:pStyle w:val="Heading1"/>
        <w:spacing w:after="200" w:before="360"/>
      </w:pPr>
      <w:r>
        <w:rPr>
          <w:rFonts w:ascii="Calibri" w:cs="Calibri" w:eastAsia="Calibri" w:hAnsi="Calibri"/>
          <w:b/>
          <w:bCs/>
          <w:color w:val="333333"/>
          <w:sz w:val="32"/>
          <w:szCs w:val="32"/>
        </w:rPr>
        <w:t xml:space="preserve">Deel IV — Uitvoering</w:t>
      </w:r>
    </w:p>
    <w:p>
      <w:pPr>
        <w:spacing w:after="0"/>
      </w:pP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14. Investeringsagenda &amp; Prioritering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7 (Projectenportfolio), 8 (Projectbeheersing) | Instrument: BI &amp; Data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Kopieer de tabel uit het SVP Data Workbook tab 'Investeringsopgave'.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Object</w:t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Strategie</w:t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Investering (€)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Planjaar</w:t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Prioriteit</w:t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Dekking</w:t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1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4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16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14.1 Financieringsstrategie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financieringsstrategie: NHC-inzet, eigen middelen, WfZ-borging, bancaire financiering, eventuele subsidies. Geef aan hoe de investeringsagenda financieel gedekt wordt.</w:t>
      </w:r>
    </w:p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15. Implementatie-roadmap</w:t>
      </w:r>
    </w:p>
    <w:p>
      <w:pPr>
        <w:shd w:fill="F2F2F2" w:color="auto" w:val="clear"/>
        <w:spacing w:after="120" w:before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📋 Kompas: Bouwsteen 7 (Projectenportfolio), 11 (Verandermanagement) | Instrument: Organisatie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Kopieer de fasering uit het SVP Data Workbook tab 'Fasering'.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Object</w:t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Fase 1 (jaar 1–3)</w:t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Fase 2 (jaar 4–7)</w:t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Fase 3 (jaar 8+)</w:t>
            </w:r>
          </w:p>
        </w:tc>
      </w:tr>
      <w:t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42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15.1 Governance en monitoring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hoe de voortgang van het SVP wordt bewaakt. Definieer KPI’s, meetfrequenties en verantwoordelijkheden.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KPI</w:t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Norm/streefwaarde</w:t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Meetfrequentie</w:t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Verantwoordelijke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1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15.2 Herijkingsmomenten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herijkingsmomenten. Aanbeveling: voer jaarlijks een herijking uit van het SVP, mede op basis van de actuele Quick-scan resultaten en financiële realisatie.</w:t>
      </w:r>
    </w:p>
    <w:p>
      <w:r>
        <w:br w:type="page"/>
      </w:r>
    </w:p>
    <w:p>
      <w:pPr>
        <w:pStyle w:val="Heading1"/>
        <w:spacing w:after="200" w:before="360"/>
      </w:pPr>
      <w:r>
        <w:rPr>
          <w:rFonts w:ascii="Calibri" w:cs="Calibri" w:eastAsia="Calibri" w:hAnsi="Calibri"/>
          <w:b/>
          <w:bCs/>
          <w:color w:val="333333"/>
          <w:sz w:val="32"/>
          <w:szCs w:val="32"/>
        </w:rPr>
        <w:t xml:space="preserve">Bijlagen</w:t>
      </w:r>
    </w:p>
    <w:p>
      <w:pPr>
        <w:spacing w:after="0"/>
      </w:pP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Bijlage A: Begrippenlijst</w:t>
      </w:r>
    </w:p>
    <w:p>
      <w:pPr>
        <w:spacing w:after="0"/>
      </w:pP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</w:tblGrid>
      <w:tr>
        <w:trPr>
          <w:tblHeader/>
        </w:trP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Term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Definitie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SVP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Strategisch Vastgoedplan — langetermijnvisie op de vastgoedportefeuille van een zorgorganisatie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DMJOP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Duurzaam Meerjarenonderhoudsplan — planmatig overzicht van onderhoud voor 10–25 jaar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MIP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Meerjareninvesteringsplan — overzicht van geplande investeringen in vastgoed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NHC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Normatieve Huisvestingscomponent — vergoeding voor huisvestingskosten in de Wlz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WfZ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Waarborgfonds voor de Zorgsector — garant voor leningen van zorginstellingen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NEN 2767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Norm voor conditiemeting van gebouwen en installaties (schaal 1–6)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BVO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Bruto Vloeroppervlak — totale oppervlakte van een gebouw inclusief muren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NL-SfB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Nederlandse standaardclassificatie voor bouwdelen en installaties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Wlz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Wet langdurige zorg — wettelijk kader voor langdurige zorg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ZZP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Zorgzwaartepakket — classificatie van zorgintensiteit per cliënt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VVT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Verpleging, Verzorging en Thuiszorg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GHZ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Gehandicaptenzorg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GGZ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Geestelijke Gezondheidszorg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IST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Huidige situatie van de vastgoedportefeuille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SOLL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Gewenste toekomstige situatie van de vastgoedportefeuille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BENG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Bijna Energieneutrale Gebouwen — energieprestatie-eis voor nieuwbouw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RJ 645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Richtlijn Jaarverslaggeving 645 — verslaggevingsregels voor zorginstellingen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DigiMV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Digitale verantwoording door zorgaanbieders aan het CIBG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RACI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Responsible, Accountable, Consulted, Informed — model voor rolverdeling</w:t>
            </w:r>
          </w:p>
        </w:tc>
      </w:tr>
      <w:tr>
        <w:tc>
          <w:tcPr>
            <w:tcW w:type="dxa" w:w="2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KPI</w:t>
            </w:r>
          </w:p>
        </w:tc>
        <w:tc>
          <w:tcPr>
            <w:tcW w:type="dxa" w:w="66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Key Performance Indicator — prestatie-indicator voor monitoring</w:t>
            </w:r>
          </w:p>
        </w:tc>
      </w:tr>
    </w:tbl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Bijlage B: Kompas Vastgoedsturing Methodiek</w:t>
      </w:r>
    </w:p>
    <w:p>
      <w:pPr>
        <w:spacing w:after="0"/>
      </w:pPr>
    </w:p>
    <w:p>
      <w:pPr>
        <w:spacing w:after="200"/>
      </w:pPr>
      <w:r>
        <w:drawing>
          <wp:inline distT="0" distB="0" distL="0" distR="0">
            <wp:extent cx="1143000" cy="74295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0"/>
      </w:pPr>
      <w:r>
        <w:rPr>
          <w:rFonts w:ascii="Calibri" w:cs="Calibri" w:eastAsia="Calibri" w:hAnsi="Calibri"/>
          <w:b/>
          <w:bCs/>
          <w:color w:val="1D3D59"/>
          <w:sz w:val="28"/>
          <w:szCs w:val="28"/>
        </w:rPr>
        <w:t xml:space="preserve">Kompas Vastgoedsturing — FinQDC</w:t>
      </w:r>
    </w:p>
    <w:p>
      <w:pPr>
        <w:spacing w:after="120"/>
      </w:pPr>
      <w:r>
        <w:rPr>
          <w:rFonts w:ascii="Calibri" w:cs="Calibri" w:eastAsia="Calibri" w:hAnsi="Calibri"/>
          <w:color w:val="444444"/>
          <w:sz w:val="22"/>
          <w:szCs w:val="22"/>
        </w:rPr>
        <w:t xml:space="preserve">Het Kompas Vastgoedsturing is een integraal besturingsmodel voor vastgoed in de zorg, ontwikkeld door FinQDC. Het model bestaat uit 4 kwadranten met elk 3 bouwstenen (12 totaal) en 4 kerninstrumenten die dwars door alle kwadranten heen werken.</w:t>
      </w:r>
    </w:p>
    <w:p>
      <w:pPr>
        <w:spacing w:after="0"/>
      </w:pPr>
    </w:p>
    <w:p>
      <w:pPr>
        <w:spacing w:after="120"/>
      </w:pPr>
      <w:r>
        <w:rPr>
          <w:rFonts w:ascii="Calibri" w:cs="Calibri" w:eastAsia="Calibri" w:hAnsi="Calibri"/>
          <w:b/>
          <w:bCs/>
          <w:color w:val="1D3D59"/>
          <w:sz w:val="22"/>
          <w:szCs w:val="22"/>
        </w:rPr>
        <w:t xml:space="preserve">Kwadranten en bouwstenen</w:t>
      </w: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</w:tblGrid>
      <w:tr>
        <w:trPr>
          <w:tblHeader/>
        </w:trP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D3D59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Kwadrant</w:t>
            </w:r>
          </w:p>
        </w:tc>
        <w:tc>
          <w:tcPr>
            <w:tcW w:type="dxa" w:w="6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D3D59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Bouwstenen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Q1 Strategisch</w:t>
            </w:r>
          </w:p>
        </w:tc>
        <w:tc>
          <w:tcPr>
            <w:tcW w:type="dxa" w:w="6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Blok 1: Strategisch Vastgoedplan (SVP), Blok 2: Markt &amp; Omgeving, Blok 3: Functioneel Programma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Q2 Financieel</w:t>
            </w:r>
          </w:p>
        </w:tc>
        <w:tc>
          <w:tcPr>
            <w:tcW w:type="dxa" w:w="6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Blok 4: Financiële kaders, Blok 5: Investeringsbeleid, Blok 6: Beleidskaders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Q3 Operationeel</w:t>
            </w:r>
          </w:p>
        </w:tc>
        <w:tc>
          <w:tcPr>
            <w:tcW w:type="dxa" w:w="6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Blok 7: Projectenportfolio, Blok 8: Projectbeheersing, Blok 9: Onderhoud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Q4 Cyclisch</w:t>
            </w:r>
          </w:p>
        </w:tc>
        <w:tc>
          <w:tcPr>
            <w:tcW w:type="dxa" w:w="6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Blok 10: Informatiemanagement, Blok 11: Verandermanagement, Blok 12: Evaluatie &amp; Bijsturing</w:t>
            </w:r>
          </w:p>
        </w:tc>
      </w:tr>
    </w:tbl>
    <w:p>
      <w:pPr>
        <w:spacing w:after="0"/>
      </w:pPr>
    </w:p>
    <w:p>
      <w:pPr>
        <w:spacing w:after="120"/>
      </w:pPr>
      <w:r>
        <w:rPr>
          <w:rFonts w:ascii="Calibri" w:cs="Calibri" w:eastAsia="Calibri" w:hAnsi="Calibri"/>
          <w:b/>
          <w:bCs/>
          <w:color w:val="1D3D59"/>
          <w:sz w:val="22"/>
          <w:szCs w:val="22"/>
        </w:rPr>
        <w:t xml:space="preserve">Kerninstrumenten</w:t>
      </w: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</w:tblGrid>
      <w:tr>
        <w:trPr>
          <w:tblHeader/>
        </w:trP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D3D59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Instrument</w:t>
            </w:r>
          </w:p>
        </w:tc>
        <w:tc>
          <w:tcPr>
            <w:tcW w:type="dxa" w:w="6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D3D59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Beschrijving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BI &amp; Data</w:t>
            </w:r>
          </w:p>
        </w:tc>
        <w:tc>
          <w:tcPr>
            <w:tcW w:type="dxa" w:w="6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Business Intelligence en data-analyse ter onderbouwing van vastgoedbeslissingen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Risico &amp; Compliance</w:t>
            </w:r>
          </w:p>
        </w:tc>
        <w:tc>
          <w:tcPr>
            <w:tcW w:type="dxa" w:w="6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Risicomanagement en naleving van wet- en regelgeving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Evalueren &amp; Leren</w:t>
            </w:r>
          </w:p>
        </w:tc>
        <w:tc>
          <w:tcPr>
            <w:tcW w:type="dxa" w:w="6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Systematische evaluatie van projecten en processen voor continue verbetering</w:t>
            </w:r>
          </w:p>
        </w:tc>
      </w:tr>
      <w:tr>
        <w:tc>
          <w:tcPr>
            <w:tcW w:type="dxa" w:w="2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Organisatie</w:t>
            </w:r>
          </w:p>
        </w:tc>
        <w:tc>
          <w:tcPr>
            <w:tcW w:type="dxa" w:w="682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Organisatie-inrichting, governance en competenties voor vastgoedsturing</w:t>
            </w:r>
          </w:p>
        </w:tc>
      </w:tr>
    </w:tbl>
    <w:p>
      <w:pPr>
        <w:spacing w:after="0"/>
      </w:pP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Dit SVP is opgesteld met het Kompas Vastgoedsturing van FinQDC — www.finqdc.nl</w:t>
      </w:r>
    </w:p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Bijlage C: SVP Quick-scan Resultaat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Plak hier de resultaten van uw SVP Quick-scan (Volwassenheidsscan) of vul de tabellen handmatig in.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Bouwblokscores</w:t>
      </w: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Nr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Bouwblok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Score (1–5)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Niveau</w:t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1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Strategisch Vastgoedplan (SVP)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2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Markt &amp; Omgeving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3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Functioneel Programma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4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Financiële kaders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5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Investeringsbeleid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6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Beleidskaders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7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Projectenportfolio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8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Projectbeheersing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9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Onderhoud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10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Informatiemanagement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11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Verandermanagement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  <w:tr>
        <w:tc>
          <w:tcPr>
            <w:tcW w:type="dxa" w:w="6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12</w:t>
            </w:r>
          </w:p>
        </w:tc>
        <w:tc>
          <w:tcPr>
            <w:tcW w:type="dxa" w:w="40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>Evaluatie &amp; Bijsturing</w:t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13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Kwadrantgemiddelden</w:t>
      </w: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225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Q1 Strategisch</w:t>
            </w:r>
          </w:p>
        </w:tc>
        <w:tc>
          <w:tcPr>
            <w:tcW w:type="dxa" w:w="225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Q2 Financieel</w:t>
            </w:r>
          </w:p>
        </w:tc>
        <w:tc>
          <w:tcPr>
            <w:tcW w:type="dxa" w:w="2257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Q3 Operationeel</w:t>
            </w:r>
          </w:p>
        </w:tc>
        <w:tc>
          <w:tcPr>
            <w:tcW w:type="dxa" w:w="2257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Q4 Cyclisch</w:t>
            </w:r>
          </w:p>
        </w:tc>
      </w:tr>
      <w:tr>
        <w:tc>
          <w:tcPr>
            <w:tcW w:type="dxa" w:w="225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5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57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57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Kerninstrumenten</w:t>
      </w:r>
    </w:p>
    <w:tbl>
      <w:tblPr>
        <w:tblW w:type="dxa" w:w="9026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"/>
        <w:gridCol w:w="100"/>
        <w:gridCol w:w="100"/>
        <w:gridCol w:w="100"/>
      </w:tblGrid>
      <w:tr>
        <w:trPr>
          <w:tblHeader/>
        </w:trPr>
        <w:tc>
          <w:tcPr>
            <w:tcW w:type="dxa" w:w="225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BI &amp; Data</w:t>
            </w:r>
          </w:p>
        </w:tc>
        <w:tc>
          <w:tcPr>
            <w:tcW w:type="dxa" w:w="225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Risico &amp; Compliance</w:t>
            </w:r>
          </w:p>
        </w:tc>
        <w:tc>
          <w:tcPr>
            <w:tcW w:type="dxa" w:w="2257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Evalueren &amp; Leren</w:t>
            </w:r>
          </w:p>
        </w:tc>
        <w:tc>
          <w:tcPr>
            <w:tcW w:type="dxa" w:w="2257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333333" w:color="auto" w:val="clear"/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b/>
                <w:bCs/>
                <w:color w:val="FFFFFF"/>
                <w:sz w:val="20"/>
                <w:szCs w:val="20"/>
              </w:rPr>
              <w:t xml:space="preserve">Organisatie</w:t>
            </w:r>
          </w:p>
        </w:tc>
      </w:tr>
      <w:tr>
        <w:tc>
          <w:tcPr>
            <w:tcW w:type="dxa" w:w="225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56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57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  <w:tc>
          <w:tcPr>
            <w:tcW w:type="dxa" w:w="2257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</w:tcPr>
          <w:p>
            <w:pPr>
              <w:spacing w:after="40" w:before="40"/>
            </w:pPr>
            <w:r>
              <w:rPr>
                <w:rFonts w:ascii="Calibri" w:cs="Calibri" w:eastAsia="Calibri" w:hAnsi="Calibri"/>
                <w:color w:val="444444"/>
                <w:sz w:val="20"/>
                <w:szCs w:val="20"/>
              </w:rPr>
              <w:t xml:space="preserve"/>
            </w:r>
          </w:p>
        </w:tc>
      </w:tr>
    </w:tbl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Sterktes en prioriteiten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op basis van de Quick-scan resultaten: Wat zijn de sterktes van uw organisatie op het gebied van vastgoedsturing? Welke bouwblokken hebben prioriteit voor verbetering?</w:t>
      </w:r>
    </w:p>
    <w:p>
      <w:r>
        <w:br w:type="page"/>
      </w:r>
    </w:p>
    <w:p>
      <w:pPr>
        <w:pStyle w:val="Heading2"/>
        <w:spacing w:after="160" w:before="300"/>
      </w:pPr>
      <w:r>
        <w:rPr>
          <w:rFonts w:ascii="Calibri" w:cs="Calibri" w:eastAsia="Calibri" w:hAnsi="Calibri"/>
          <w:b/>
          <w:bCs/>
          <w:color w:val="333333"/>
          <w:sz w:val="26"/>
          <w:szCs w:val="26"/>
        </w:rPr>
        <w:t xml:space="preserve">Bijlage D: Management Samenvatting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Vul deze samenvatting als laatste in, nadat u alle hoofdstukken heeft afgerond.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Kernboodschap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Vat de essentie van het SVP samen in 3–5 zinnen. Wat is de strategische richting, wat is de belangrijkste opgave en wat is het gevraagde besluit?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Strategische koers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gekozen strategische koers: groei, consolidatie, krimp of transformatie. Licht de keuze toe en onderbouw deze met de analyses uit het SVP.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Top-5 actiepunten</w:t>
      </w:r>
    </w:p>
    <w:p>
      <w:pPr>
        <w:spacing w:after="80"/>
      </w:pPr>
      <w:r>
        <w:rPr>
          <w:rFonts w:ascii="Calibri" w:cs="Calibri" w:eastAsia="Calibri" w:hAnsi="Calibri"/>
          <w:color w:val="444444"/>
          <w:sz w:val="22"/>
          <w:szCs w:val="22"/>
        </w:rPr>
        <w:t xml:space="preserve">1. [Actiepunt 1]</w:t>
      </w:r>
    </w:p>
    <w:p>
      <w:pPr>
        <w:spacing w:after="80"/>
      </w:pPr>
      <w:r>
        <w:rPr>
          <w:rFonts w:ascii="Calibri" w:cs="Calibri" w:eastAsia="Calibri" w:hAnsi="Calibri"/>
          <w:color w:val="444444"/>
          <w:sz w:val="22"/>
          <w:szCs w:val="22"/>
        </w:rPr>
        <w:t xml:space="preserve">2. [Actiepunt 2]</w:t>
      </w:r>
    </w:p>
    <w:p>
      <w:pPr>
        <w:spacing w:after="80"/>
      </w:pPr>
      <w:r>
        <w:rPr>
          <w:rFonts w:ascii="Calibri" w:cs="Calibri" w:eastAsia="Calibri" w:hAnsi="Calibri"/>
          <w:color w:val="444444"/>
          <w:sz w:val="22"/>
          <w:szCs w:val="22"/>
        </w:rPr>
        <w:t xml:space="preserve">3. [Actiepunt 3]</w:t>
      </w:r>
    </w:p>
    <w:p>
      <w:pPr>
        <w:spacing w:after="80"/>
      </w:pPr>
      <w:r>
        <w:rPr>
          <w:rFonts w:ascii="Calibri" w:cs="Calibri" w:eastAsia="Calibri" w:hAnsi="Calibri"/>
          <w:color w:val="444444"/>
          <w:sz w:val="22"/>
          <w:szCs w:val="22"/>
        </w:rPr>
        <w:t xml:space="preserve">4. [Actiepunt 4]</w:t>
      </w:r>
    </w:p>
    <w:p>
      <w:pPr>
        <w:spacing w:after="80"/>
      </w:pPr>
      <w:r>
        <w:rPr>
          <w:rFonts w:ascii="Calibri" w:cs="Calibri" w:eastAsia="Calibri" w:hAnsi="Calibri"/>
          <w:color w:val="444444"/>
          <w:sz w:val="22"/>
          <w:szCs w:val="22"/>
        </w:rPr>
        <w:t xml:space="preserve">5. [Actiepunt 5]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Financieel overzicht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Geef een samenvatting van het totale investeringsvolume, de fasering over de planperiode en de wijze van financiering (NHC, eigen middelen, WfZ-borging, bancair).</w:t>
      </w:r>
    </w:p>
    <w:p>
      <w:pPr>
        <w:spacing w:after="0"/>
      </w:pPr>
    </w:p>
    <w:p>
      <w:pPr>
        <w:pStyle w:val="Heading3"/>
        <w:spacing w:after="120" w:before="240"/>
      </w:pPr>
      <w:r>
        <w:rPr>
          <w:rFonts w:ascii="Calibri" w:cs="Calibri" w:eastAsia="Calibri" w:hAnsi="Calibri"/>
          <w:b/>
          <w:bCs/>
          <w:color w:val="333333"/>
          <w:sz w:val="22"/>
          <w:szCs w:val="22"/>
        </w:rPr>
        <w:t xml:space="preserve">Risico’s en mitigatie</w:t>
      </w:r>
    </w:p>
    <w:p>
      <w:pPr>
        <w:spacing w:after="120"/>
      </w:pPr>
      <w:r>
        <w:rPr>
          <w:rFonts w:ascii="Calibri" w:cs="Calibri" w:eastAsia="Calibri" w:hAnsi="Calibri"/>
          <w:i/>
          <w:iCs/>
          <w:color w:val="888888"/>
          <w:sz w:val="20"/>
          <w:szCs w:val="20"/>
        </w:rPr>
        <w:t xml:space="preserve">Beschrijf de top 3 risico’s voor de uitvoering van het SVP en de bijbehorende mitigatiemaatregelen.</w:t>
      </w:r>
    </w:p>
    <w:sectPr>
      <w:headerReference w:type="default" r:id="rId7"/>
      <w:footerReference w:type="default" r:id="rId8"/>
      <w:type w:val="nextPage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tabs>
        <w:tab w:val="center" w:pos="4513"/>
        <w:tab w:val="right" w:pos="9026"/>
      </w:tabs>
    </w:pPr>
    <w:r>
      <w:rPr>
        <w:rFonts w:ascii="Calibri" w:cs="Calibri" w:eastAsia="Calibri" w:hAnsi="Calibri"/>
        <w:color w:val="888888"/>
        <w:sz w:val="16"/>
        <w:szCs w:val="16"/>
      </w:rPr>
      <w:t xml:space="preserve">Vertrouwelijk</w:t>
    </w:r>
    <w:r>
      <w:t xml:space="preserve">	</w:t>
    </w:r>
    <w:r>
      <w:rPr>
        <w:rFonts w:ascii="Calibri" w:cs="Calibri" w:eastAsia="Calibri" w:hAnsi="Calibri"/>
        <w:color w:val="888888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t xml:space="preserve">	</w:t>
    </w:r>
    <w:r>
      <w:rPr>
        <w:rFonts w:ascii="Calibri" w:cs="Calibri" w:eastAsia="Calibri" w:hAnsi="Calibri"/>
        <w:color w:val="888888"/>
        <w:sz w:val="16"/>
        <w:szCs w:val="16"/>
      </w:rPr>
      <w:t xml:space="preserve">[Planperiode]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tabs>
        <w:tab w:val="right" w:pos="9026"/>
      </w:tabs>
    </w:pPr>
    <w:r>
      <w:rPr>
        <w:rFonts w:ascii="Calibri" w:cs="Calibri" w:eastAsia="Calibri" w:hAnsi="Calibri"/>
        <w:color w:val="888888"/>
        <w:sz w:val="18"/>
        <w:szCs w:val="18"/>
      </w:rPr>
      <w:t xml:space="preserve">[Naam organisatie]</w:t>
    </w:r>
    <w:r>
      <w:t xml:space="preserve">	</w:t>
    </w:r>
    <w:r>
      <w:rPr>
        <w:rFonts w:ascii="Calibri" w:cs="Calibri" w:eastAsia="Calibri" w:hAnsi="Calibri"/>
        <w:color w:val="888888"/>
        <w:sz w:val="18"/>
        <w:szCs w:val="18"/>
      </w:rPr>
      <w:t xml:space="preserve">Strategisch Vastgoedplan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updateFields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cs="Calibri" w:eastAsia="Calibri" w:hAnsi="Calibri"/>
        <w:color w:val="444444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after="200" w:before="360"/>
    </w:pPr>
    <w:rPr>
      <w:rFonts w:ascii="Calibri" w:cs="Calibri" w:eastAsia="Calibri" w:hAnsi="Calibri"/>
      <w:b/>
      <w:bCs/>
      <w:color w:val="333333"/>
      <w:sz w:val="32"/>
      <w:szCs w:val="32"/>
    </w:rPr>
  </w:style>
  <w:style w:type="paragraph" w:styleId="Heading2">
    <w:name w:val="Heading 2"/>
    <w:basedOn w:val="Normal"/>
    <w:next w:val="Normal"/>
    <w:qFormat/>
    <w:pPr>
      <w:spacing w:after="160" w:before="300"/>
    </w:pPr>
    <w:rPr>
      <w:rFonts w:ascii="Calibri" w:cs="Calibri" w:eastAsia="Calibri" w:hAnsi="Calibri"/>
      <w:b/>
      <w:bCs/>
      <w:color w:val="333333"/>
      <w:sz w:val="26"/>
      <w:szCs w:val="26"/>
    </w:rPr>
  </w:style>
  <w:style w:type="paragraph" w:styleId="Heading3">
    <w:name w:val="Heading 3"/>
    <w:basedOn w:val="Normal"/>
    <w:next w:val="Normal"/>
    <w:qFormat/>
    <w:pPr>
      <w:spacing w:after="120" w:before="240"/>
    </w:pPr>
    <w:rPr>
      <w:rFonts w:ascii="Calibri" w:cs="Calibri" w:eastAsia="Calibri" w:hAnsi="Calibri"/>
      <w:b/>
      <w:bCs/>
      <w:color w:val="333333"/>
      <w:sz w:val="22"/>
      <w:szCs w:val="22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7c8dc88c2ad9719fc2718cb9812578ea6f270dc3.jp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Strategisch Vastgoedplan</dc:title>
  <dc:creator>FinQDC Kompas Vastgoedsturing</dc:creator>
  <dc:description>SVP Template — vul in met uw organisatiegegevens</dc:description>
  <cp:lastModifiedBy>Un-named</cp:lastModifiedBy>
  <cp:revision>1</cp:revision>
  <dcterms:created xsi:type="dcterms:W3CDTF">2026-03-13T08:07:44.674Z</dcterms:created>
  <dcterms:modified xsi:type="dcterms:W3CDTF">2026-03-13T08:07:44.676Z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